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24BE" w:rsidRPr="005C77E9" w:rsidRDefault="00BE0E56" w:rsidP="005C77E9">
      <w:pPr>
        <w:jc w:val="center"/>
        <w:rPr>
          <w:rFonts w:asciiTheme="majorBidi" w:hAnsiTheme="majorBidi" w:cstheme="majorBidi"/>
          <w:b/>
          <w:bCs/>
          <w:color w:val="70AD47"/>
          <w:spacing w:val="10"/>
          <w:sz w:val="40"/>
          <w:szCs w:val="40"/>
          <w14:glow w14:rad="38100">
            <w14:schemeClr w14:val="accent1">
              <w14:alpha w14:val="60000"/>
            </w14:schemeClr>
          </w14:glow>
          <w14:textOutline w14:w="9525" w14:cap="flat" w14:cmpd="sng" w14:algn="ctr">
            <w14:solidFill>
              <w14:schemeClr w14:val="accent1"/>
            </w14:solidFill>
            <w14:prstDash w14:val="solid"/>
            <w14:round/>
          </w14:textOutline>
          <w14:textFill>
            <w14:solidFill>
              <w14:srgbClr w14:val="70AD47">
                <w14:tint w14:val="1000"/>
              </w14:srgbClr>
            </w14:solidFill>
          </w14:textFill>
        </w:rPr>
      </w:pPr>
      <w:r w:rsidRPr="005C77E9">
        <w:rPr>
          <w:rFonts w:asciiTheme="majorBidi" w:hAnsiTheme="majorBidi" w:cstheme="majorBidi"/>
          <w:b/>
          <w:bCs/>
          <w:color w:val="70AD47"/>
          <w:spacing w:val="10"/>
          <w:sz w:val="40"/>
          <w:szCs w:val="40"/>
          <w14:glow w14:rad="38100">
            <w14:schemeClr w14:val="accent1">
              <w14:alpha w14:val="60000"/>
            </w14:schemeClr>
          </w14:glow>
          <w14:textOutline w14:w="9525" w14:cap="flat" w14:cmpd="sng" w14:algn="ctr">
            <w14:solidFill>
              <w14:schemeClr w14:val="accent1"/>
            </w14:solidFill>
            <w14:prstDash w14:val="solid"/>
            <w14:round/>
          </w14:textOutline>
          <w14:textFill>
            <w14:solidFill>
              <w14:srgbClr w14:val="70AD47">
                <w14:tint w14:val="1000"/>
              </w14:srgbClr>
            </w14:solidFill>
          </w14:textFill>
        </w:rPr>
        <w:t>Fiche de préparation de séance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464"/>
        <w:gridCol w:w="791"/>
        <w:gridCol w:w="1982"/>
        <w:gridCol w:w="1287"/>
        <w:gridCol w:w="1701"/>
        <w:gridCol w:w="1559"/>
        <w:gridCol w:w="1843"/>
        <w:gridCol w:w="155"/>
        <w:gridCol w:w="837"/>
        <w:gridCol w:w="2375"/>
      </w:tblGrid>
      <w:tr w:rsidR="00BE0E56" w:rsidRPr="00BE0E56" w:rsidTr="00654D90">
        <w:tc>
          <w:tcPr>
            <w:tcW w:w="5524" w:type="dxa"/>
            <w:gridSpan w:val="4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Module d’enseignement </w:t>
            </w:r>
          </w:p>
        </w:tc>
        <w:tc>
          <w:tcPr>
            <w:tcW w:w="1701" w:type="dxa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>Famille d’APS</w:t>
            </w:r>
          </w:p>
        </w:tc>
        <w:tc>
          <w:tcPr>
            <w:tcW w:w="1559" w:type="dxa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APS support </w:t>
            </w:r>
          </w:p>
        </w:tc>
        <w:tc>
          <w:tcPr>
            <w:tcW w:w="1843" w:type="dxa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Niveau scolaire </w:t>
            </w:r>
          </w:p>
        </w:tc>
        <w:tc>
          <w:tcPr>
            <w:tcW w:w="992" w:type="dxa"/>
            <w:gridSpan w:val="2"/>
            <w:shd w:val="clear" w:color="auto" w:fill="F4B083" w:themeFill="accent2" w:themeFillTint="99"/>
          </w:tcPr>
          <w:p w:rsidR="00BE0E56" w:rsidRPr="00BE0E56" w:rsidRDefault="00654D9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N</w:t>
            </w:r>
            <w:r w:rsidR="00BE0E56" w:rsidRPr="00BE0E56">
              <w:rPr>
                <w:rFonts w:asciiTheme="majorBidi" w:hAnsiTheme="majorBidi" w:cstheme="majorBidi"/>
                <w:b/>
                <w:bCs/>
              </w:rPr>
              <w:t xml:space="preserve"> de séance </w:t>
            </w:r>
          </w:p>
        </w:tc>
        <w:tc>
          <w:tcPr>
            <w:tcW w:w="2375" w:type="dxa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Matériel </w:t>
            </w:r>
          </w:p>
        </w:tc>
      </w:tr>
      <w:tr w:rsidR="00BE0E56" w:rsidTr="00654D90">
        <w:tc>
          <w:tcPr>
            <w:tcW w:w="5524" w:type="dxa"/>
            <w:gridSpan w:val="4"/>
          </w:tcPr>
          <w:p w:rsidR="00BE0E56" w:rsidRPr="00BE0E56" w:rsidRDefault="00654D90">
            <w:pPr>
              <w:rPr>
                <w:rFonts w:asciiTheme="majorBidi" w:hAnsiTheme="majorBidi" w:cstheme="majorBidi"/>
              </w:rPr>
            </w:pPr>
            <w:r w:rsidRPr="00654D90">
              <w:rPr>
                <w:rFonts w:asciiTheme="majorBidi" w:hAnsiTheme="majorBidi" w:cstheme="majorBidi"/>
              </w:rPr>
              <w:t>: Coordination motrice et condition physique</w:t>
            </w:r>
            <w:r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1701" w:type="dxa"/>
          </w:tcPr>
          <w:p w:rsidR="00BE0E56" w:rsidRPr="00BE0E56" w:rsidRDefault="00654D90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Sport de renvoi </w:t>
            </w:r>
          </w:p>
        </w:tc>
        <w:tc>
          <w:tcPr>
            <w:tcW w:w="1559" w:type="dxa"/>
          </w:tcPr>
          <w:p w:rsidR="00BE0E56" w:rsidRPr="00BE0E56" w:rsidRDefault="00654D90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Volley-ball</w:t>
            </w:r>
          </w:p>
        </w:tc>
        <w:tc>
          <w:tcPr>
            <w:tcW w:w="1843" w:type="dxa"/>
          </w:tcPr>
          <w:p w:rsidR="00BE0E56" w:rsidRPr="00BE0E56" w:rsidRDefault="00654D90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1AC </w:t>
            </w:r>
          </w:p>
        </w:tc>
        <w:tc>
          <w:tcPr>
            <w:tcW w:w="992" w:type="dxa"/>
            <w:gridSpan w:val="2"/>
          </w:tcPr>
          <w:p w:rsidR="00BE0E56" w:rsidRPr="00BE0E56" w:rsidRDefault="00844569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375" w:type="dxa"/>
          </w:tcPr>
          <w:p w:rsidR="00BE0E56" w:rsidRPr="00BE0E56" w:rsidRDefault="00844569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Ballon de VB, Plots</w:t>
            </w:r>
          </w:p>
        </w:tc>
      </w:tr>
      <w:tr w:rsidR="00922E32" w:rsidTr="002C467B">
        <w:tc>
          <w:tcPr>
            <w:tcW w:w="4237" w:type="dxa"/>
            <w:gridSpan w:val="3"/>
            <w:shd w:val="clear" w:color="auto" w:fill="F4B083" w:themeFill="accent2" w:themeFillTint="99"/>
          </w:tcPr>
          <w:p w:rsidR="00922E32" w:rsidRPr="00BE0E56" w:rsidRDefault="00922E32" w:rsidP="002C467B">
            <w:pPr>
              <w:rPr>
                <w:rFonts w:asciiTheme="majorBidi" w:hAnsiTheme="majorBidi" w:cstheme="majorBidi"/>
                <w:b/>
                <w:bCs/>
              </w:rPr>
            </w:pPr>
            <w:r w:rsidRPr="00922E32">
              <w:rPr>
                <w:rFonts w:asciiTheme="majorBidi" w:hAnsiTheme="majorBidi" w:cstheme="majorBidi"/>
                <w:b/>
                <w:bCs/>
              </w:rPr>
              <w:t>Objectif terminal d’intégration (OTI)</w:t>
            </w:r>
          </w:p>
        </w:tc>
        <w:tc>
          <w:tcPr>
            <w:tcW w:w="9757" w:type="dxa"/>
            <w:gridSpan w:val="7"/>
          </w:tcPr>
          <w:p w:rsidR="00922E32" w:rsidRPr="00753660" w:rsidRDefault="00922E32" w:rsidP="002C467B">
            <w:pPr>
              <w:rPr>
                <w:rFonts w:asciiTheme="majorBidi" w:hAnsiTheme="majorBidi" w:cstheme="majorBidi"/>
              </w:rPr>
            </w:pPr>
            <w:r w:rsidRPr="00922E32">
              <w:rPr>
                <w:rFonts w:asciiTheme="majorBidi" w:hAnsiTheme="majorBidi" w:cstheme="majorBidi"/>
              </w:rPr>
              <w:t>L’élève la 1ere année doit acquérir une motricité correcte lui permettant de s’adapter aux exigences des situations (forme et rythme) et s’intégrer dans le groupe.</w:t>
            </w:r>
          </w:p>
        </w:tc>
      </w:tr>
      <w:tr w:rsidR="00922E32" w:rsidTr="002C467B">
        <w:tc>
          <w:tcPr>
            <w:tcW w:w="4237" w:type="dxa"/>
            <w:gridSpan w:val="3"/>
            <w:shd w:val="clear" w:color="auto" w:fill="F4B083" w:themeFill="accent2" w:themeFillTint="99"/>
          </w:tcPr>
          <w:p w:rsidR="00922E32" w:rsidRPr="00BE0E56" w:rsidRDefault="00922E32" w:rsidP="002C467B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>Objectif terminal de cycle (OTC)</w:t>
            </w:r>
          </w:p>
        </w:tc>
        <w:tc>
          <w:tcPr>
            <w:tcW w:w="9757" w:type="dxa"/>
            <w:gridSpan w:val="7"/>
          </w:tcPr>
          <w:p w:rsidR="00922E32" w:rsidRPr="00753660" w:rsidRDefault="00922E32" w:rsidP="002C467B">
            <w:pPr>
              <w:rPr>
                <w:rFonts w:asciiTheme="majorBidi" w:hAnsiTheme="majorBidi" w:cstheme="majorBidi"/>
              </w:rPr>
            </w:pPr>
            <w:r w:rsidRPr="00753660">
              <w:rPr>
                <w:rFonts w:asciiTheme="majorBidi" w:hAnsiTheme="majorBidi" w:cstheme="majorBidi"/>
              </w:rPr>
              <w:t>Rechercher le gain de la rencontre par un déplacement et un placement adéquats pour défendre son camp et renvoyer la balle vers le camp adverse.</w:t>
            </w:r>
          </w:p>
        </w:tc>
      </w:tr>
      <w:tr w:rsidR="00BE0E56" w:rsidTr="00654D90">
        <w:tc>
          <w:tcPr>
            <w:tcW w:w="4237" w:type="dxa"/>
            <w:gridSpan w:val="3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Objectif de la séquence </w:t>
            </w:r>
          </w:p>
        </w:tc>
        <w:tc>
          <w:tcPr>
            <w:tcW w:w="9757" w:type="dxa"/>
            <w:gridSpan w:val="7"/>
          </w:tcPr>
          <w:p w:rsidR="00BE0E56" w:rsidRPr="00A21598" w:rsidRDefault="00A21598" w:rsidP="00A21598">
            <w:pPr>
              <w:rPr>
                <w:rFonts w:asciiTheme="majorBidi" w:hAnsiTheme="majorBidi" w:cstheme="majorBidi"/>
              </w:rPr>
            </w:pPr>
            <w:r w:rsidRPr="00A21598">
              <w:rPr>
                <w:rFonts w:asciiTheme="majorBidi" w:hAnsiTheme="majorBidi" w:cstheme="majorBidi"/>
              </w:rPr>
              <w:t>Se déplacer et se placer pour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A21598">
              <w:rPr>
                <w:rFonts w:asciiTheme="majorBidi" w:hAnsiTheme="majorBidi" w:cstheme="majorBidi"/>
              </w:rPr>
              <w:t>réceptionner et passer au cours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A21598">
              <w:rPr>
                <w:rFonts w:asciiTheme="majorBidi" w:hAnsiTheme="majorBidi" w:cstheme="majorBidi"/>
              </w:rPr>
              <w:t>d'une seule et même action.</w:t>
            </w:r>
          </w:p>
        </w:tc>
      </w:tr>
      <w:tr w:rsidR="00BE0E56" w:rsidTr="00654D90">
        <w:tc>
          <w:tcPr>
            <w:tcW w:w="4237" w:type="dxa"/>
            <w:gridSpan w:val="3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Objectif de la séance </w:t>
            </w:r>
          </w:p>
        </w:tc>
        <w:tc>
          <w:tcPr>
            <w:tcW w:w="9757" w:type="dxa"/>
            <w:gridSpan w:val="7"/>
          </w:tcPr>
          <w:p w:rsidR="00BE0E56" w:rsidRPr="00A21598" w:rsidRDefault="00A21598" w:rsidP="00A21598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Pouvoir s’organiser </w:t>
            </w:r>
            <w:r w:rsidRPr="00A21598">
              <w:rPr>
                <w:rFonts w:asciiTheme="majorBidi" w:hAnsiTheme="majorBidi" w:cstheme="majorBidi"/>
              </w:rPr>
              <w:t>pour défendre son camp en empêchant la balle de tomber</w:t>
            </w:r>
            <w:r>
              <w:rPr>
                <w:rFonts w:asciiTheme="majorBidi" w:hAnsiTheme="majorBidi" w:cstheme="majorBidi"/>
              </w:rPr>
              <w:t xml:space="preserve"> et la renvoyer à base de trois </w:t>
            </w:r>
            <w:r w:rsidRPr="00A21598">
              <w:rPr>
                <w:rFonts w:asciiTheme="majorBidi" w:hAnsiTheme="majorBidi" w:cstheme="majorBidi"/>
              </w:rPr>
              <w:t>touches de balle</w:t>
            </w:r>
            <w:r>
              <w:rPr>
                <w:rFonts w:asciiTheme="majorBidi" w:hAnsiTheme="majorBidi" w:cstheme="majorBidi"/>
              </w:rPr>
              <w:t>.</w:t>
            </w:r>
          </w:p>
        </w:tc>
      </w:tr>
      <w:tr w:rsidR="00654D90" w:rsidRPr="00BE0E56" w:rsidTr="00654D90">
        <w:tc>
          <w:tcPr>
            <w:tcW w:w="1464" w:type="dxa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Etape </w:t>
            </w:r>
          </w:p>
        </w:tc>
        <w:tc>
          <w:tcPr>
            <w:tcW w:w="791" w:type="dxa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Durée </w:t>
            </w:r>
          </w:p>
        </w:tc>
        <w:tc>
          <w:tcPr>
            <w:tcW w:w="8527" w:type="dxa"/>
            <w:gridSpan w:val="6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Contenu </w:t>
            </w:r>
          </w:p>
        </w:tc>
        <w:tc>
          <w:tcPr>
            <w:tcW w:w="3212" w:type="dxa"/>
            <w:gridSpan w:val="2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Schématisation </w:t>
            </w:r>
          </w:p>
        </w:tc>
      </w:tr>
      <w:tr w:rsidR="00BE0E56" w:rsidRPr="00BE0E56" w:rsidTr="00654D90">
        <w:tc>
          <w:tcPr>
            <w:tcW w:w="1464" w:type="dxa"/>
          </w:tcPr>
          <w:p w:rsidR="00BE0E56" w:rsidRPr="00654D90" w:rsidRDefault="00BE0E56">
            <w:pPr>
              <w:rPr>
                <w:rFonts w:asciiTheme="majorBidi" w:hAnsiTheme="majorBidi" w:cstheme="majorBidi"/>
                <w:u w:val="single"/>
              </w:rPr>
            </w:pPr>
            <w:r w:rsidRPr="00654D90">
              <w:rPr>
                <w:rFonts w:asciiTheme="majorBidi" w:hAnsiTheme="majorBidi" w:cstheme="majorBidi"/>
                <w:highlight w:val="yellow"/>
                <w:u w:val="single"/>
              </w:rPr>
              <w:t>Introductive</w:t>
            </w:r>
          </w:p>
        </w:tc>
        <w:tc>
          <w:tcPr>
            <w:tcW w:w="791" w:type="dxa"/>
          </w:tcPr>
          <w:p w:rsidR="00BE0E56" w:rsidRPr="00BE0E56" w:rsidRDefault="00BE0E56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10’ à 15’</w:t>
            </w:r>
          </w:p>
        </w:tc>
        <w:tc>
          <w:tcPr>
            <w:tcW w:w="8527" w:type="dxa"/>
            <w:gridSpan w:val="6"/>
          </w:tcPr>
          <w:p w:rsidR="006F371F" w:rsidRPr="006F371F" w:rsidRDefault="006F371F" w:rsidP="006F371F">
            <w:pPr>
              <w:rPr>
                <w:rFonts w:asciiTheme="majorBidi" w:hAnsiTheme="majorBidi" w:cstheme="majorBidi"/>
              </w:rPr>
            </w:pPr>
            <w:r w:rsidRPr="006F371F">
              <w:rPr>
                <w:rFonts w:asciiTheme="majorBidi" w:hAnsiTheme="majorBidi" w:cstheme="majorBidi"/>
                <w:b/>
                <w:bCs/>
              </w:rPr>
              <w:t>Eveil psychique :</w:t>
            </w:r>
            <w:r w:rsidRPr="006F371F">
              <w:rPr>
                <w:rFonts w:asciiTheme="majorBidi" w:hAnsiTheme="majorBidi" w:cstheme="majorBidi"/>
              </w:rPr>
              <w:t xml:space="preserve"> contrôle de l’absence –la tenue</w:t>
            </w:r>
          </w:p>
          <w:p w:rsidR="006F371F" w:rsidRPr="006F371F" w:rsidRDefault="006F371F" w:rsidP="006F371F">
            <w:pPr>
              <w:rPr>
                <w:rFonts w:asciiTheme="majorBidi" w:hAnsiTheme="majorBidi" w:cstheme="majorBidi"/>
              </w:rPr>
            </w:pPr>
            <w:r w:rsidRPr="006F371F">
              <w:rPr>
                <w:rFonts w:asciiTheme="majorBidi" w:hAnsiTheme="majorBidi" w:cstheme="majorBidi"/>
                <w:b/>
                <w:bCs/>
              </w:rPr>
              <w:t>Echauffement général</w:t>
            </w:r>
            <w:r w:rsidRPr="006F371F">
              <w:rPr>
                <w:rFonts w:asciiTheme="majorBidi" w:hAnsiTheme="majorBidi" w:cstheme="majorBidi"/>
              </w:rPr>
              <w:t xml:space="preserve"> : à base de course, de déplacements, d’assouplissements, et de contractions. </w:t>
            </w:r>
          </w:p>
          <w:p w:rsidR="006F371F" w:rsidRPr="006F371F" w:rsidRDefault="006F371F" w:rsidP="006F371F">
            <w:pPr>
              <w:rPr>
                <w:rFonts w:asciiTheme="majorBidi" w:hAnsiTheme="majorBidi" w:cstheme="majorBidi"/>
              </w:rPr>
            </w:pPr>
            <w:r w:rsidRPr="006F371F">
              <w:rPr>
                <w:rFonts w:asciiTheme="majorBidi" w:hAnsiTheme="majorBidi" w:cstheme="majorBidi"/>
                <w:b/>
                <w:bCs/>
              </w:rPr>
              <w:t>Echauffement spécifique</w:t>
            </w:r>
            <w:r w:rsidRPr="006F371F">
              <w:rPr>
                <w:rFonts w:asciiTheme="majorBidi" w:hAnsiTheme="majorBidi" w:cstheme="majorBidi"/>
              </w:rPr>
              <w:t> : jeu de balles brulantes.</w:t>
            </w:r>
          </w:p>
          <w:p w:rsidR="00BE0E56" w:rsidRPr="00BE0E56" w:rsidRDefault="006F371F" w:rsidP="006F371F">
            <w:pPr>
              <w:jc w:val="center"/>
              <w:rPr>
                <w:rFonts w:asciiTheme="majorBidi" w:hAnsiTheme="majorBidi" w:cstheme="majorBidi"/>
              </w:rPr>
            </w:pPr>
            <w:r w:rsidRPr="006F371F">
              <w:rPr>
                <w:rFonts w:asciiTheme="majorBidi" w:hAnsiTheme="majorBidi" w:cstheme="majorBidi"/>
                <w:b/>
                <w:bCs/>
              </w:rPr>
              <w:t>Présentation de l’objectif de la séance.</w:t>
            </w:r>
          </w:p>
        </w:tc>
        <w:tc>
          <w:tcPr>
            <w:tcW w:w="3212" w:type="dxa"/>
            <w:gridSpan w:val="2"/>
          </w:tcPr>
          <w:p w:rsidR="00BE0E56" w:rsidRPr="00BE0E56" w:rsidRDefault="00A71ED3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  <w:lang w:eastAsia="fr-FR"/>
              </w:rPr>
              <w:drawing>
                <wp:inline distT="0" distB="0" distL="0" distR="0" wp14:anchorId="7B512402">
                  <wp:extent cx="1666875" cy="685800"/>
                  <wp:effectExtent l="0" t="0" r="9525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75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0E56" w:rsidRPr="00BE0E56" w:rsidTr="00654D90">
        <w:tc>
          <w:tcPr>
            <w:tcW w:w="1464" w:type="dxa"/>
          </w:tcPr>
          <w:p w:rsidR="00BE0E56" w:rsidRPr="00BE0E56" w:rsidRDefault="00BE0E56">
            <w:pPr>
              <w:rPr>
                <w:rFonts w:asciiTheme="majorBidi" w:hAnsiTheme="majorBidi" w:cstheme="majorBidi"/>
              </w:rPr>
            </w:pPr>
            <w:r w:rsidRPr="00654D90">
              <w:rPr>
                <w:rFonts w:asciiTheme="majorBidi" w:hAnsiTheme="majorBidi" w:cstheme="majorBidi"/>
                <w:highlight w:val="yellow"/>
              </w:rPr>
              <w:t>Fondamentale</w:t>
            </w:r>
          </w:p>
        </w:tc>
        <w:tc>
          <w:tcPr>
            <w:tcW w:w="791" w:type="dxa"/>
          </w:tcPr>
          <w:p w:rsidR="00BE0E56" w:rsidRPr="00BE0E56" w:rsidRDefault="00BE0E56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35’ à 45’</w:t>
            </w:r>
          </w:p>
        </w:tc>
        <w:tc>
          <w:tcPr>
            <w:tcW w:w="8527" w:type="dxa"/>
            <w:gridSpan w:val="6"/>
          </w:tcPr>
          <w:p w:rsidR="00BE0E56" w:rsidRDefault="00BE0E56">
            <w:pPr>
              <w:rPr>
                <w:rFonts w:asciiTheme="majorBidi" w:hAnsiTheme="majorBidi" w:cstheme="majorBidi"/>
              </w:rPr>
            </w:pPr>
          </w:p>
          <w:p w:rsidR="0095540D" w:rsidRPr="0095540D" w:rsidRDefault="0095540D" w:rsidP="0095540D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u w:val="single"/>
              </w:rPr>
            </w:pPr>
            <w:r w:rsidRPr="0095540D">
              <w:rPr>
                <w:rFonts w:ascii="Times New Roman" w:eastAsia="Calibri" w:hAnsi="Times New Roman" w:cs="Times New Roman"/>
                <w:b/>
                <w:bCs/>
                <w:highlight w:val="yellow"/>
                <w:u w:val="single"/>
              </w:rPr>
              <w:t>Situation :</w:t>
            </w:r>
          </w:p>
          <w:p w:rsidR="0095540D" w:rsidRPr="0095540D" w:rsidRDefault="0095540D" w:rsidP="0095540D">
            <w:pPr>
              <w:spacing w:line="256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95540D">
              <w:rPr>
                <w:rFonts w:ascii="Times New Roman" w:eastAsia="Calibri" w:hAnsi="Times New Roman" w:cs="Times New Roman"/>
                <w:b/>
                <w:bCs/>
              </w:rPr>
              <w:t xml:space="preserve">But : </w:t>
            </w:r>
            <w:r w:rsidR="00EB770A" w:rsidRPr="00EB770A">
              <w:rPr>
                <w:rFonts w:ascii="Times New Roman" w:eastAsia="Calibri" w:hAnsi="Times New Roman" w:cs="Times New Roman"/>
              </w:rPr>
              <w:t>Renvoyer la balle dans le camp adverse, et se déplacer rapidement</w:t>
            </w:r>
          </w:p>
          <w:p w:rsidR="00EB770A" w:rsidRDefault="0095540D" w:rsidP="00EB770A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95540D">
              <w:rPr>
                <w:rFonts w:ascii="Times New Roman" w:eastAsia="Calibri" w:hAnsi="Times New Roman" w:cs="Times New Roman"/>
                <w:b/>
                <w:bCs/>
              </w:rPr>
              <w:t xml:space="preserve">Conditions de réalisation : </w:t>
            </w:r>
          </w:p>
          <w:p w:rsidR="00EB770A" w:rsidRPr="00EB770A" w:rsidRDefault="00EB770A" w:rsidP="00EB770A">
            <w:pPr>
              <w:pStyle w:val="Paragraphedeliste"/>
              <w:numPr>
                <w:ilvl w:val="0"/>
                <w:numId w:val="1"/>
              </w:numPr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EB770A">
              <w:rPr>
                <w:rFonts w:ascii="Times New Roman" w:eastAsia="Calibri" w:hAnsi="Times New Roman" w:cs="Times New Roman"/>
              </w:rPr>
              <w:t>Les élèves du niveau 3 sont placés en colonnes de part et d’autre du filet, il s’agit d’effectuer un renvoie par chaque élève situé au premier rang des colonnes, et se déplacer derrière ses partenaires.</w:t>
            </w:r>
          </w:p>
          <w:p w:rsidR="00EB770A" w:rsidRPr="00EB770A" w:rsidRDefault="00EB770A" w:rsidP="00EB770A">
            <w:pPr>
              <w:pStyle w:val="Paragraphedeliste"/>
              <w:numPr>
                <w:ilvl w:val="0"/>
                <w:numId w:val="1"/>
              </w:numPr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EB770A">
              <w:rPr>
                <w:rFonts w:ascii="Times New Roman" w:eastAsia="Calibri" w:hAnsi="Times New Roman" w:cs="Times New Roman"/>
              </w:rPr>
              <w:t>Les élèves du niveau 1 commencent la situation sans filet et ont le droit de laisser la</w:t>
            </w:r>
            <w:r w:rsidRPr="00EB770A">
              <w:rPr>
                <w:rFonts w:ascii="Times New Roman" w:eastAsia="Calibri" w:hAnsi="Times New Roman" w:cs="Times New Roman"/>
              </w:rPr>
              <w:t xml:space="preserve"> balle rebondir une seule fois </w:t>
            </w:r>
            <w:r w:rsidRPr="00EB770A">
              <w:rPr>
                <w:rFonts w:ascii="Times New Roman" w:eastAsia="Calibri" w:hAnsi="Times New Roman" w:cs="Times New Roman"/>
              </w:rPr>
              <w:t>avant de la renvoyer.</w:t>
            </w:r>
          </w:p>
          <w:p w:rsidR="0095540D" w:rsidRPr="00EB770A" w:rsidRDefault="00EB770A" w:rsidP="00EB770A">
            <w:pPr>
              <w:pStyle w:val="Paragraphedeliste"/>
              <w:numPr>
                <w:ilvl w:val="0"/>
                <w:numId w:val="1"/>
              </w:numPr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EB770A">
              <w:rPr>
                <w:rFonts w:ascii="Times New Roman" w:eastAsia="Calibri" w:hAnsi="Times New Roman" w:cs="Times New Roman"/>
              </w:rPr>
              <w:t>Les élèves du niveau 2 commencent sans filet.</w:t>
            </w:r>
          </w:p>
          <w:p w:rsidR="00EB770A" w:rsidRDefault="0095540D" w:rsidP="00EB770A">
            <w:pPr>
              <w:spacing w:line="256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95540D">
              <w:rPr>
                <w:rFonts w:ascii="Times New Roman" w:eastAsia="Calibri" w:hAnsi="Times New Roman" w:cs="Times New Roman"/>
                <w:b/>
                <w:bCs/>
              </w:rPr>
              <w:t xml:space="preserve">Critères de réalisation : </w:t>
            </w:r>
          </w:p>
          <w:p w:rsidR="00EB770A" w:rsidRPr="00EB770A" w:rsidRDefault="00EB770A" w:rsidP="00EB770A">
            <w:pPr>
              <w:pStyle w:val="Paragraphedeliste"/>
              <w:numPr>
                <w:ilvl w:val="0"/>
                <w:numId w:val="2"/>
              </w:numPr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EB770A">
              <w:rPr>
                <w:rFonts w:ascii="Times New Roman" w:eastAsia="Calibri" w:hAnsi="Times New Roman" w:cs="Times New Roman"/>
              </w:rPr>
              <w:t>Renvoyer la balle vers l’avant et vers le haut.</w:t>
            </w:r>
          </w:p>
          <w:p w:rsidR="00EB770A" w:rsidRPr="00EB770A" w:rsidRDefault="00EB770A" w:rsidP="00EB770A">
            <w:pPr>
              <w:pStyle w:val="Paragraphedeliste"/>
              <w:numPr>
                <w:ilvl w:val="0"/>
                <w:numId w:val="2"/>
              </w:numPr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EB770A">
              <w:rPr>
                <w:rFonts w:ascii="Times New Roman" w:eastAsia="Calibri" w:hAnsi="Times New Roman" w:cs="Times New Roman"/>
              </w:rPr>
              <w:t>Fléchir ses genoux lors du renvoie.</w:t>
            </w:r>
          </w:p>
          <w:p w:rsidR="0095540D" w:rsidRPr="00EB770A" w:rsidRDefault="00EB770A" w:rsidP="00EB770A">
            <w:pPr>
              <w:pStyle w:val="Paragraphedeliste"/>
              <w:numPr>
                <w:ilvl w:val="0"/>
                <w:numId w:val="2"/>
              </w:numPr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EB770A">
              <w:rPr>
                <w:rFonts w:ascii="Times New Roman" w:eastAsia="Calibri" w:hAnsi="Times New Roman" w:cs="Times New Roman"/>
              </w:rPr>
              <w:t>S’orienter avec la trajectoire de la balle.</w:t>
            </w:r>
          </w:p>
          <w:p w:rsidR="00EB770A" w:rsidRDefault="00EB770A" w:rsidP="0095540D">
            <w:pPr>
              <w:spacing w:line="256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95540D" w:rsidRPr="0095540D" w:rsidRDefault="0095540D" w:rsidP="0095540D">
            <w:pPr>
              <w:spacing w:line="256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95540D">
              <w:rPr>
                <w:rFonts w:ascii="Times New Roman" w:eastAsia="Calibri" w:hAnsi="Times New Roman" w:cs="Times New Roman"/>
                <w:b/>
                <w:bCs/>
              </w:rPr>
              <w:t xml:space="preserve">Critères de réussite : </w:t>
            </w:r>
            <w:r w:rsidR="00EB770A" w:rsidRPr="00EB770A">
              <w:rPr>
                <w:rFonts w:ascii="Times New Roman" w:eastAsia="Calibri" w:hAnsi="Times New Roman" w:cs="Times New Roman"/>
              </w:rPr>
              <w:t>Faire plus de 8 échanges de balle entre les deux équipes.</w:t>
            </w:r>
          </w:p>
          <w:p w:rsidR="00BE0E56" w:rsidRDefault="0095540D" w:rsidP="00EB770A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95540D">
              <w:rPr>
                <w:rFonts w:ascii="Times New Roman" w:eastAsia="Calibri" w:hAnsi="Times New Roman" w:cs="Times New Roman"/>
                <w:b/>
                <w:bCs/>
              </w:rPr>
              <w:t xml:space="preserve">Variables : </w:t>
            </w:r>
            <w:r w:rsidR="00EB770A" w:rsidRPr="00EB770A">
              <w:rPr>
                <w:rFonts w:ascii="Times New Roman" w:eastAsia="Calibri" w:hAnsi="Times New Roman" w:cs="Times New Roman"/>
              </w:rPr>
              <w:t>faire l’exercice en manchette</w:t>
            </w:r>
            <w:r w:rsidR="00EB770A">
              <w:rPr>
                <w:rFonts w:ascii="Times New Roman" w:eastAsia="Calibri" w:hAnsi="Times New Roman" w:cs="Times New Roman"/>
              </w:rPr>
              <w:t>.</w:t>
            </w:r>
          </w:p>
          <w:p w:rsidR="001A64A2" w:rsidRPr="001A64A2" w:rsidRDefault="001A64A2" w:rsidP="001A64A2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bookmarkStart w:id="0" w:name="_GoBack"/>
            <w:bookmarkEnd w:id="0"/>
            <w:r w:rsidRPr="001A64A2">
              <w:rPr>
                <w:rFonts w:ascii="Times New Roman" w:eastAsia="Calibri" w:hAnsi="Times New Roman" w:cs="Times New Roman"/>
                <w:b/>
                <w:bCs/>
                <w:highlight w:val="yellow"/>
              </w:rPr>
              <w:t>Situation de référence</w:t>
            </w:r>
          </w:p>
        </w:tc>
        <w:tc>
          <w:tcPr>
            <w:tcW w:w="3212" w:type="dxa"/>
            <w:gridSpan w:val="2"/>
          </w:tcPr>
          <w:p w:rsidR="00BE0E56" w:rsidRPr="00BE0E56" w:rsidRDefault="00EB770A">
            <w:pPr>
              <w:rPr>
                <w:rFonts w:asciiTheme="majorBidi" w:hAnsiTheme="majorBidi" w:cstheme="majorBidi"/>
              </w:rPr>
            </w:pPr>
            <w:r>
              <w:rPr>
                <w:noProof/>
                <w:lang w:eastAsia="fr-FR"/>
              </w:rPr>
              <w:lastRenderedPageBreak/>
              <w:drawing>
                <wp:inline distT="0" distB="0" distL="0" distR="0" wp14:anchorId="3F5A83EF" wp14:editId="4B38A7C7">
                  <wp:extent cx="1771650" cy="1285875"/>
                  <wp:effectExtent l="0" t="0" r="0" b="9525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1650" cy="1285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0E56" w:rsidRPr="00BE0E56" w:rsidTr="006F371F">
        <w:trPr>
          <w:trHeight w:val="868"/>
        </w:trPr>
        <w:tc>
          <w:tcPr>
            <w:tcW w:w="1464" w:type="dxa"/>
          </w:tcPr>
          <w:p w:rsidR="00BE0E56" w:rsidRPr="00654D90" w:rsidRDefault="00BE0E56">
            <w:pPr>
              <w:rPr>
                <w:rFonts w:asciiTheme="majorBidi" w:hAnsiTheme="majorBidi" w:cstheme="majorBidi"/>
                <w:u w:val="single"/>
              </w:rPr>
            </w:pPr>
            <w:r w:rsidRPr="00654D90">
              <w:rPr>
                <w:rFonts w:asciiTheme="majorBidi" w:hAnsiTheme="majorBidi" w:cstheme="majorBidi"/>
                <w:highlight w:val="yellow"/>
                <w:u w:val="single"/>
              </w:rPr>
              <w:lastRenderedPageBreak/>
              <w:t>Finale</w:t>
            </w:r>
            <w:r w:rsidRPr="00654D90">
              <w:rPr>
                <w:rFonts w:asciiTheme="majorBidi" w:hAnsiTheme="majorBidi" w:cstheme="majorBidi"/>
                <w:u w:val="single"/>
              </w:rPr>
              <w:t xml:space="preserve"> </w:t>
            </w:r>
          </w:p>
        </w:tc>
        <w:tc>
          <w:tcPr>
            <w:tcW w:w="791" w:type="dxa"/>
          </w:tcPr>
          <w:p w:rsidR="00BE0E56" w:rsidRPr="00BE0E56" w:rsidRDefault="00BE0E56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5’ à 10’</w:t>
            </w:r>
          </w:p>
        </w:tc>
        <w:tc>
          <w:tcPr>
            <w:tcW w:w="8527" w:type="dxa"/>
            <w:gridSpan w:val="6"/>
          </w:tcPr>
          <w:p w:rsidR="006F371F" w:rsidRPr="006F371F" w:rsidRDefault="006F371F" w:rsidP="006F371F">
            <w:pPr>
              <w:rPr>
                <w:rFonts w:asciiTheme="majorBidi" w:hAnsiTheme="majorBidi" w:cstheme="majorBidi"/>
                <w:b/>
                <w:bCs/>
              </w:rPr>
            </w:pPr>
            <w:r w:rsidRPr="006F371F">
              <w:rPr>
                <w:rFonts w:asciiTheme="majorBidi" w:hAnsiTheme="majorBidi" w:cstheme="majorBidi"/>
                <w:b/>
                <w:bCs/>
              </w:rPr>
              <w:t>Retour au calme</w:t>
            </w:r>
          </w:p>
          <w:p w:rsidR="006F371F" w:rsidRPr="006F371F" w:rsidRDefault="006F371F" w:rsidP="006F371F">
            <w:pPr>
              <w:rPr>
                <w:rFonts w:asciiTheme="majorBidi" w:hAnsiTheme="majorBidi" w:cstheme="majorBidi"/>
                <w:b/>
                <w:bCs/>
              </w:rPr>
            </w:pPr>
            <w:r w:rsidRPr="006F371F">
              <w:rPr>
                <w:rFonts w:asciiTheme="majorBidi" w:hAnsiTheme="majorBidi" w:cstheme="majorBidi"/>
                <w:b/>
                <w:bCs/>
              </w:rPr>
              <w:t xml:space="preserve">Bilan de la séance </w:t>
            </w:r>
            <w:r w:rsidRPr="006F371F">
              <w:rPr>
                <w:rFonts w:asciiTheme="majorBidi" w:hAnsiTheme="majorBidi" w:cstheme="majorBidi"/>
              </w:rPr>
              <w:t>(discussion/Feed-back)</w:t>
            </w:r>
          </w:p>
          <w:p w:rsidR="00BE0E56" w:rsidRPr="00BE0E56" w:rsidRDefault="006F371F" w:rsidP="006F371F">
            <w:pPr>
              <w:rPr>
                <w:rFonts w:asciiTheme="majorBidi" w:hAnsiTheme="majorBidi" w:cstheme="majorBidi"/>
              </w:rPr>
            </w:pPr>
            <w:r w:rsidRPr="006F371F">
              <w:rPr>
                <w:rFonts w:asciiTheme="majorBidi" w:hAnsiTheme="majorBidi" w:cstheme="majorBidi"/>
                <w:b/>
                <w:bCs/>
              </w:rPr>
              <w:t>Présentation de l’objectif de la séance prochaine</w:t>
            </w:r>
          </w:p>
        </w:tc>
        <w:tc>
          <w:tcPr>
            <w:tcW w:w="3212" w:type="dxa"/>
            <w:gridSpan w:val="2"/>
          </w:tcPr>
          <w:p w:rsidR="00BE0E56" w:rsidRPr="00BE0E56" w:rsidRDefault="00A71ED3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  <w:lang w:eastAsia="fr-FR"/>
              </w:rPr>
              <w:drawing>
                <wp:inline distT="0" distB="0" distL="0" distR="0" wp14:anchorId="701AE5D7">
                  <wp:extent cx="1762125" cy="685800"/>
                  <wp:effectExtent l="0" t="0" r="9525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2125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E0E56" w:rsidRPr="00BE0E56" w:rsidRDefault="00BE0E56">
      <w:pPr>
        <w:rPr>
          <w:rFonts w:asciiTheme="majorBidi" w:hAnsiTheme="majorBidi" w:cstheme="majorBidi"/>
        </w:rPr>
      </w:pPr>
    </w:p>
    <w:sectPr w:rsidR="00BE0E56" w:rsidRPr="00BE0E56" w:rsidSect="00E224BE">
      <w:head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3797" w:rsidRDefault="00013797" w:rsidP="005C77E9">
      <w:pPr>
        <w:spacing w:after="0" w:line="240" w:lineRule="auto"/>
      </w:pPr>
      <w:r>
        <w:separator/>
      </w:r>
    </w:p>
  </w:endnote>
  <w:endnote w:type="continuationSeparator" w:id="0">
    <w:p w:rsidR="00013797" w:rsidRDefault="00013797" w:rsidP="005C7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3797" w:rsidRDefault="00013797" w:rsidP="005C77E9">
      <w:pPr>
        <w:spacing w:after="0" w:line="240" w:lineRule="auto"/>
      </w:pPr>
      <w:r>
        <w:separator/>
      </w:r>
    </w:p>
  </w:footnote>
  <w:footnote w:type="continuationSeparator" w:id="0">
    <w:p w:rsidR="00013797" w:rsidRDefault="00013797" w:rsidP="005C77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77E9" w:rsidRDefault="005C77E9" w:rsidP="005C77E9">
    <w:pPr>
      <w:pStyle w:val="En-tte"/>
    </w:pPr>
    <w:r w:rsidRPr="005C77E9">
      <w:rPr>
        <w:noProof/>
        <w:lang w:eastAsia="fr-F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right</wp:align>
          </wp:positionH>
          <wp:positionV relativeFrom="paragraph">
            <wp:posOffset>-68580</wp:posOffset>
          </wp:positionV>
          <wp:extent cx="1438275" cy="514350"/>
          <wp:effectExtent l="0" t="0" r="9525" b="0"/>
          <wp:wrapTopAndBottom/>
          <wp:docPr id="1" name="Image 1" descr="Image associÃ©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mage associÃ©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Réalisé par : ABARNOSS </w:t>
    </w:r>
    <w:proofErr w:type="spellStart"/>
    <w:r>
      <w:t>Hafsa</w:t>
    </w:r>
    <w:proofErr w:type="spellEnd"/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1B57E5"/>
    <w:multiLevelType w:val="hybridMultilevel"/>
    <w:tmpl w:val="7884DD9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800EE0"/>
    <w:multiLevelType w:val="hybridMultilevel"/>
    <w:tmpl w:val="D4B603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5E79"/>
    <w:rsid w:val="00013797"/>
    <w:rsid w:val="001A64A2"/>
    <w:rsid w:val="0026623B"/>
    <w:rsid w:val="00433CDA"/>
    <w:rsid w:val="00461D64"/>
    <w:rsid w:val="005C77E9"/>
    <w:rsid w:val="00606139"/>
    <w:rsid w:val="00654D90"/>
    <w:rsid w:val="006F371F"/>
    <w:rsid w:val="00753660"/>
    <w:rsid w:val="007E3731"/>
    <w:rsid w:val="00844569"/>
    <w:rsid w:val="00922E32"/>
    <w:rsid w:val="0095540D"/>
    <w:rsid w:val="00A21598"/>
    <w:rsid w:val="00A261A0"/>
    <w:rsid w:val="00A71ED3"/>
    <w:rsid w:val="00BE0E56"/>
    <w:rsid w:val="00CF2CF7"/>
    <w:rsid w:val="00E224BE"/>
    <w:rsid w:val="00EB770A"/>
    <w:rsid w:val="00F41FC0"/>
    <w:rsid w:val="00F85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8F50EA-0B1D-40A7-B2A3-D660DC972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BE0E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5C77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C77E9"/>
  </w:style>
  <w:style w:type="paragraph" w:styleId="Pieddepage">
    <w:name w:val="footer"/>
    <w:basedOn w:val="Normal"/>
    <w:link w:val="PieddepageCar"/>
    <w:uiPriority w:val="99"/>
    <w:unhideWhenUsed/>
    <w:rsid w:val="005C77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C77E9"/>
  </w:style>
  <w:style w:type="paragraph" w:styleId="Paragraphedeliste">
    <w:name w:val="List Paragraph"/>
    <w:basedOn w:val="Normal"/>
    <w:uiPriority w:val="34"/>
    <w:qFormat/>
    <w:rsid w:val="00EB77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403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329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12</cp:revision>
  <dcterms:created xsi:type="dcterms:W3CDTF">2019-04-19T21:03:00Z</dcterms:created>
  <dcterms:modified xsi:type="dcterms:W3CDTF">2019-04-20T22:46:00Z</dcterms:modified>
</cp:coreProperties>
</file>